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:rsidR="00AE483D" w:rsidRPr="00B0052F" w:rsidRDefault="00AE483D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:rsidR="00647AB8" w:rsidRDefault="00877ED6" w:rsidP="006779D3">
      <w:pPr>
        <w:jc w:val="center"/>
        <w:rPr>
          <w:rFonts w:ascii="Calibri" w:hAnsi="Calibri"/>
          <w:b/>
          <w:sz w:val="22"/>
          <w:szCs w:val="20"/>
        </w:rPr>
      </w:pPr>
      <w:r>
        <w:rPr>
          <w:rFonts w:ascii="Calibri" w:hAnsi="Calibri"/>
          <w:b/>
          <w:sz w:val="22"/>
          <w:szCs w:val="20"/>
        </w:rPr>
        <w:t>Nákup užitkového automobilu pro zvýšení akceschopnosti JSDH Poličná</w:t>
      </w:r>
      <w:bookmarkStart w:id="0" w:name="_GoBack"/>
      <w:bookmarkEnd w:id="0"/>
    </w:p>
    <w:p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……………………..</w:t>
      </w: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7D1" w:rsidRDefault="00F02B66">
      <w:r>
        <w:separator/>
      </w:r>
    </w:p>
  </w:endnote>
  <w:endnote w:type="continuationSeparator" w:id="0">
    <w:p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7D1" w:rsidRDefault="00F02B66">
      <w:r>
        <w:separator/>
      </w:r>
    </w:p>
  </w:footnote>
  <w:footnote w:type="continuationSeparator" w:id="0">
    <w:p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90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483D"/>
    <w:rsid w:val="0022351E"/>
    <w:rsid w:val="003B0FEA"/>
    <w:rsid w:val="005477D1"/>
    <w:rsid w:val="00647AB8"/>
    <w:rsid w:val="006779D3"/>
    <w:rsid w:val="006C0A55"/>
    <w:rsid w:val="00816821"/>
    <w:rsid w:val="00877ED6"/>
    <w:rsid w:val="00883038"/>
    <w:rsid w:val="00A607B8"/>
    <w:rsid w:val="00AA1568"/>
    <w:rsid w:val="00AB1ED7"/>
    <w:rsid w:val="00AE483D"/>
    <w:rsid w:val="00DA487E"/>
    <w:rsid w:val="00F02B66"/>
    <w:rsid w:val="00F1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9FB6BC0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450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Rapantová Lucie, JUDr.</cp:lastModifiedBy>
  <cp:revision>13</cp:revision>
  <dcterms:created xsi:type="dcterms:W3CDTF">2020-01-30T16:43:00Z</dcterms:created>
  <dcterms:modified xsi:type="dcterms:W3CDTF">2023-09-18T09:18:00Z</dcterms:modified>
</cp:coreProperties>
</file>